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83FE" w14:textId="474D9484" w:rsidR="008050F3" w:rsidRDefault="008050F3"/>
    <w:p w14:paraId="06475E9A" w14:textId="7B04FAD4" w:rsidR="00E72E3C" w:rsidRDefault="00E72E3C"/>
    <w:p w14:paraId="0917A2C3" w14:textId="183C3F30" w:rsidR="00E72E3C" w:rsidRPr="0080581B" w:rsidRDefault="0080581B" w:rsidP="0080581B">
      <w:pPr>
        <w:jc w:val="center"/>
        <w:rPr>
          <w:b/>
          <w:bCs/>
        </w:rPr>
      </w:pPr>
      <w:r w:rsidRPr="0080581B">
        <w:rPr>
          <w:b/>
          <w:bCs/>
        </w:rPr>
        <w:t>ARTE E TERRITORIO</w:t>
      </w:r>
    </w:p>
    <w:p w14:paraId="5A50C8F6" w14:textId="77777777" w:rsidR="0080581B" w:rsidRPr="0080581B" w:rsidRDefault="0080581B" w:rsidP="0080581B">
      <w:pPr>
        <w:jc w:val="center"/>
        <w:rPr>
          <w:b/>
          <w:bCs/>
        </w:rPr>
      </w:pPr>
    </w:p>
    <w:p w14:paraId="129F4C00" w14:textId="683A6BDE" w:rsidR="0080581B" w:rsidRDefault="0080581B" w:rsidP="006124EC">
      <w:pPr>
        <w:jc w:val="center"/>
        <w:rPr>
          <w:b/>
          <w:bCs/>
        </w:rPr>
      </w:pPr>
      <w:r w:rsidRPr="0080581B">
        <w:rPr>
          <w:b/>
          <w:bCs/>
        </w:rPr>
        <w:t>NUCLEI FONDANTI QUARTO ANNO</w:t>
      </w:r>
    </w:p>
    <w:p w14:paraId="24491012" w14:textId="77777777" w:rsidR="0080581B" w:rsidRPr="0080581B" w:rsidRDefault="0080581B">
      <w:pPr>
        <w:rPr>
          <w:b/>
          <w:bCs/>
        </w:rPr>
      </w:pPr>
    </w:p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0581B" w:rsidRPr="008A179E" w14:paraId="3AFC2F5A" w14:textId="77777777" w:rsidTr="009B767F">
        <w:trPr>
          <w:trHeight w:val="2019"/>
        </w:trPr>
        <w:tc>
          <w:tcPr>
            <w:tcW w:w="9781" w:type="dxa"/>
          </w:tcPr>
          <w:p w14:paraId="4A4B7A3F" w14:textId="6D61B924" w:rsidR="007E3CE8" w:rsidRDefault="0080581B" w:rsidP="00D32607">
            <w:pPr>
              <w:pStyle w:val="TableParagraph"/>
              <w:ind w:left="0"/>
              <w:rPr>
                <w:sz w:val="20"/>
                <w:lang w:val="it-IT"/>
              </w:rPr>
            </w:pPr>
            <w:bookmarkStart w:id="0" w:name="_Hlk133080018"/>
            <w:r w:rsidRPr="008A179E">
              <w:rPr>
                <w:b/>
                <w:bCs/>
                <w:sz w:val="20"/>
                <w:lang w:val="it-IT"/>
              </w:rPr>
              <w:t>Educazione</w:t>
            </w:r>
            <w:r w:rsidRPr="008A179E">
              <w:rPr>
                <w:b/>
                <w:bCs/>
                <w:spacing w:val="-14"/>
                <w:sz w:val="20"/>
                <w:lang w:val="it-IT"/>
              </w:rPr>
              <w:t xml:space="preserve"> e conoscenza</w:t>
            </w:r>
            <w:r w:rsidRPr="008A179E">
              <w:rPr>
                <w:b/>
                <w:bCs/>
                <w:sz w:val="20"/>
                <w:lang w:val="it-IT"/>
              </w:rPr>
              <w:t>:</w:t>
            </w:r>
            <w:r w:rsidRPr="008A179E">
              <w:rPr>
                <w:sz w:val="20"/>
                <w:lang w:val="it-IT"/>
              </w:rPr>
              <w:t xml:space="preserve"> </w:t>
            </w:r>
            <w:r w:rsidR="007E3CE8">
              <w:rPr>
                <w:sz w:val="20"/>
                <w:lang w:val="it-IT"/>
              </w:rPr>
              <w:t>s</w:t>
            </w:r>
            <w:r w:rsidR="007E3CE8" w:rsidRPr="007E3CE8">
              <w:rPr>
                <w:sz w:val="20"/>
                <w:lang w:val="it-IT"/>
              </w:rPr>
              <w:t>aper condurre in modo coerente una semplice argomentazione scritta e orale.</w:t>
            </w:r>
            <w:r w:rsidR="007E3CE8">
              <w:rPr>
                <w:sz w:val="20"/>
                <w:lang w:val="it-IT"/>
              </w:rPr>
              <w:t xml:space="preserve"> </w:t>
            </w:r>
            <w:r w:rsidR="007E3CE8" w:rsidRPr="007E3CE8">
              <w:rPr>
                <w:sz w:val="20"/>
                <w:lang w:val="it-IT"/>
              </w:rPr>
              <w:t>Riconoscere i linguaggi propri dell’architettura, della pittura, della scultura e delle arti applicate.</w:t>
            </w:r>
          </w:p>
          <w:p w14:paraId="170CA351" w14:textId="35D7DEBC" w:rsidR="0080581B" w:rsidRPr="008A179E" w:rsidRDefault="0080581B" w:rsidP="00D32607">
            <w:pPr>
              <w:pStyle w:val="TableParagraph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Lettura:</w:t>
            </w:r>
            <w:r w:rsidRPr="008A179E">
              <w:rPr>
                <w:sz w:val="20"/>
                <w:lang w:val="it-IT"/>
              </w:rPr>
              <w:t xml:space="preserve"> Leggere l’opera d’arte individuando le componenti strutturali,</w:t>
            </w:r>
            <w:r w:rsidR="007E3CE8">
              <w:rPr>
                <w:sz w:val="20"/>
                <w:lang w:val="it-IT"/>
              </w:rPr>
              <w:t xml:space="preserve"> </w:t>
            </w:r>
            <w:r w:rsidRPr="008A179E">
              <w:rPr>
                <w:sz w:val="20"/>
                <w:lang w:val="it-IT"/>
              </w:rPr>
              <w:t>tecniche, iconografiche, stilistiche e relative alla committenza.</w:t>
            </w:r>
          </w:p>
          <w:p w14:paraId="50139CF0" w14:textId="56633658" w:rsidR="0080581B" w:rsidRPr="008A179E" w:rsidRDefault="0080581B" w:rsidP="007E3CE8">
            <w:pPr>
              <w:pStyle w:val="TableParagraph"/>
              <w:ind w:left="0"/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F</w:t>
            </w:r>
            <w:r w:rsidRPr="008A179E">
              <w:rPr>
                <w:b/>
                <w:bCs/>
                <w:spacing w:val="-2"/>
                <w:sz w:val="20"/>
                <w:lang w:val="it-IT"/>
              </w:rPr>
              <w:t>atti storici:</w:t>
            </w:r>
            <w:r w:rsidRPr="008A179E">
              <w:rPr>
                <w:spacing w:val="-2"/>
                <w:sz w:val="20"/>
                <w:lang w:val="it-IT"/>
              </w:rPr>
              <w:t xml:space="preserve"> Lineamenti di storia dell’arte italiana, in relazione al contesto</w:t>
            </w:r>
            <w:r w:rsidR="007E3CE8">
              <w:rPr>
                <w:spacing w:val="-2"/>
                <w:sz w:val="20"/>
                <w:lang w:val="it-IT"/>
              </w:rPr>
              <w:t xml:space="preserve"> </w:t>
            </w:r>
            <w:r w:rsidRPr="008A179E">
              <w:rPr>
                <w:spacing w:val="-2"/>
                <w:sz w:val="20"/>
                <w:lang w:val="it-IT"/>
              </w:rPr>
              <w:t xml:space="preserve">mediterraneo ed europeo, dalle origini al Settecento </w:t>
            </w:r>
            <w:r w:rsidRPr="008A179E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  <w:t>evidenziando i nessi con la storia e la cultura locale.</w:t>
            </w:r>
          </w:p>
          <w:p w14:paraId="2B0467F2" w14:textId="519E1C4F" w:rsidR="0080581B" w:rsidRPr="008A179E" w:rsidRDefault="0080581B" w:rsidP="00A63A4C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 xml:space="preserve">Ordinatori </w:t>
            </w:r>
            <w:r w:rsidRPr="008A179E">
              <w:rPr>
                <w:sz w:val="20"/>
                <w:lang w:val="it-IT"/>
              </w:rPr>
              <w:t>(tempo/spazio/soggetti/relazioni): inserire il manufatto nel contesto storico-artistico di riferimento.</w:t>
            </w:r>
          </w:p>
          <w:p w14:paraId="10161A50" w14:textId="2F38D0AC" w:rsidR="0080581B" w:rsidRPr="008A179E" w:rsidRDefault="0080581B" w:rsidP="007E3CE8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Educazione</w:t>
            </w:r>
            <w:r w:rsidRPr="008A179E">
              <w:rPr>
                <w:b/>
                <w:bCs/>
                <w:spacing w:val="-8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z w:val="20"/>
                <w:lang w:val="it-IT"/>
              </w:rPr>
              <w:t>al</w:t>
            </w:r>
            <w:r w:rsidRPr="008A179E">
              <w:rPr>
                <w:b/>
                <w:bCs/>
                <w:spacing w:val="-8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z w:val="20"/>
                <w:lang w:val="it-IT"/>
              </w:rPr>
              <w:t>patrimonio</w:t>
            </w:r>
            <w:r w:rsidRPr="008A179E">
              <w:rPr>
                <w:b/>
                <w:bCs/>
                <w:spacing w:val="-7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pacing w:val="-2"/>
                <w:sz w:val="20"/>
                <w:lang w:val="it-IT"/>
              </w:rPr>
              <w:t>culturale</w:t>
            </w:r>
            <w:r w:rsidRPr="008A179E">
              <w:rPr>
                <w:spacing w:val="-2"/>
                <w:sz w:val="20"/>
                <w:lang w:val="it-IT"/>
              </w:rPr>
              <w:t xml:space="preserve">: </w:t>
            </w:r>
            <w:r w:rsidR="007E3CE8" w:rsidRPr="007E3CE8">
              <w:rPr>
                <w:spacing w:val="-2"/>
                <w:sz w:val="20"/>
                <w:lang w:val="it-IT"/>
              </w:rPr>
              <w:t>concetto di bene culturale; Teorie interpretative dell’opera d’arte</w:t>
            </w:r>
            <w:r w:rsidR="007E3CE8">
              <w:rPr>
                <w:spacing w:val="-2"/>
                <w:sz w:val="20"/>
                <w:lang w:val="it-IT"/>
              </w:rPr>
              <w:t>.</w:t>
            </w:r>
          </w:p>
        </w:tc>
      </w:tr>
      <w:bookmarkEnd w:id="0"/>
    </w:tbl>
    <w:p w14:paraId="21FA5603" w14:textId="24B6F3A3" w:rsidR="0080581B" w:rsidRDefault="0080581B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901"/>
      </w:tblGrid>
      <w:tr w:rsidR="006124EC" w14:paraId="3D0AF708" w14:textId="77777777" w:rsidTr="007E671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F65" w14:textId="59705A5B" w:rsidR="006124EC" w:rsidRDefault="006124EC" w:rsidP="006C6176">
            <w:pPr>
              <w:rPr>
                <w:b/>
                <w:sz w:val="20"/>
                <w:szCs w:val="20"/>
              </w:rPr>
            </w:pPr>
            <w:r w:rsidRPr="00EC7915">
              <w:rPr>
                <w:b/>
                <w:bCs/>
                <w:sz w:val="20"/>
                <w:szCs w:val="20"/>
              </w:rPr>
              <w:t>UDA INTERDISCIPLINARI</w:t>
            </w:r>
            <w:r w:rsidR="00D66C06">
              <w:rPr>
                <w:b/>
                <w:bCs/>
                <w:sz w:val="20"/>
                <w:szCs w:val="20"/>
              </w:rPr>
              <w:t xml:space="preserve"> </w:t>
            </w:r>
            <w:r w:rsidR="00D66C06" w:rsidRPr="00D66C06">
              <w:rPr>
                <w:color w:val="FF0000"/>
                <w:sz w:val="20"/>
                <w:szCs w:val="20"/>
              </w:rPr>
              <w:t>(i titoli delle UDA sono presi dalla programmazione di dipartimento)</w:t>
            </w:r>
          </w:p>
        </w:tc>
      </w:tr>
      <w:tr w:rsidR="006124EC" w14:paraId="222456F4" w14:textId="77777777" w:rsidTr="007E6714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05E" w14:textId="77777777" w:rsidR="006124EC" w:rsidRDefault="006124EC" w:rsidP="006C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468" w14:textId="0BCD265D" w:rsidR="006124EC" w:rsidRPr="007E6714" w:rsidRDefault="007E6714" w:rsidP="006C6176">
            <w:pPr>
              <w:rPr>
                <w:bCs/>
                <w:color w:val="FF0000"/>
                <w:sz w:val="20"/>
                <w:szCs w:val="20"/>
              </w:rPr>
            </w:pPr>
            <w:r w:rsidRPr="007E6714">
              <w:rPr>
                <w:bCs/>
                <w:color w:val="FF0000"/>
                <w:sz w:val="20"/>
                <w:szCs w:val="20"/>
              </w:rPr>
              <w:t xml:space="preserve">Alla ricerca dei sapori della tradizione per la valorizzazione del territorio: olio </w:t>
            </w:r>
            <w:proofErr w:type="spellStart"/>
            <w:r w:rsidRPr="007E6714">
              <w:rPr>
                <w:bCs/>
                <w:color w:val="FF0000"/>
                <w:sz w:val="20"/>
                <w:szCs w:val="20"/>
              </w:rPr>
              <w:t>bio</w:t>
            </w:r>
            <w:proofErr w:type="spellEnd"/>
          </w:p>
        </w:tc>
      </w:tr>
      <w:tr w:rsidR="006124EC" w14:paraId="58AC9A05" w14:textId="77777777" w:rsidTr="007E6714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11" w14:textId="77777777" w:rsidR="006124EC" w:rsidRDefault="006124EC" w:rsidP="006C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F82" w14:textId="4E7C9C00" w:rsidR="006124EC" w:rsidRPr="007E6714" w:rsidRDefault="007E6714" w:rsidP="006C6176">
            <w:pPr>
              <w:rPr>
                <w:bCs/>
                <w:color w:val="FF0000"/>
                <w:sz w:val="20"/>
                <w:szCs w:val="20"/>
              </w:rPr>
            </w:pPr>
            <w:r w:rsidRPr="007E6714">
              <w:rPr>
                <w:bCs/>
                <w:color w:val="FF0000"/>
                <w:sz w:val="20"/>
                <w:szCs w:val="20"/>
              </w:rPr>
              <w:t>Alla ricerca dei sapori della tradizione per la valorizzazione del territorio: agrumi di Sicilia</w:t>
            </w:r>
          </w:p>
        </w:tc>
      </w:tr>
      <w:tr w:rsidR="006124EC" w14:paraId="58D37A9F" w14:textId="77777777" w:rsidTr="007E6714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9B4" w14:textId="77777777" w:rsidR="006124EC" w:rsidRDefault="006124EC" w:rsidP="006C61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110" w14:textId="3436E998" w:rsidR="006124EC" w:rsidRPr="007E6714" w:rsidRDefault="007E6714" w:rsidP="006C6176">
            <w:pPr>
              <w:rPr>
                <w:bCs/>
                <w:color w:val="FF0000"/>
                <w:sz w:val="20"/>
                <w:szCs w:val="20"/>
              </w:rPr>
            </w:pPr>
            <w:r w:rsidRPr="007E6714">
              <w:rPr>
                <w:bCs/>
                <w:color w:val="FF0000"/>
                <w:sz w:val="20"/>
                <w:szCs w:val="20"/>
              </w:rPr>
              <w:t>Alla ricerca dei sapori della tradizione per la valorizzazione del territorio: mandorle e pistacchio</w:t>
            </w:r>
          </w:p>
        </w:tc>
      </w:tr>
    </w:tbl>
    <w:p w14:paraId="1CE26AC0" w14:textId="77777777" w:rsidR="006124EC" w:rsidRDefault="006124EC"/>
    <w:p w14:paraId="28C4A1AD" w14:textId="77777777" w:rsidR="00307ED6" w:rsidRPr="004E5751" w:rsidRDefault="00307ED6" w:rsidP="00307ED6">
      <w:pPr>
        <w:rPr>
          <w:b/>
          <w:bCs/>
        </w:rPr>
      </w:pPr>
      <w:r w:rsidRPr="004E5751">
        <w:rPr>
          <w:b/>
          <w:bCs/>
        </w:rPr>
        <w:t>CONTENUTI</w:t>
      </w:r>
    </w:p>
    <w:tbl>
      <w:tblPr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07ED6" w:rsidRPr="00307ED6" w14:paraId="4AE336DC" w14:textId="77777777" w:rsidTr="006C6176">
        <w:tc>
          <w:tcPr>
            <w:tcW w:w="9781" w:type="dxa"/>
            <w:tcBorders>
              <w:left w:val="single" w:sz="4" w:space="0" w:color="000000"/>
            </w:tcBorders>
            <w:shd w:val="clear" w:color="auto" w:fill="auto"/>
          </w:tcPr>
          <w:p w14:paraId="37B9055C" w14:textId="5FA6DA3D" w:rsidR="00307ED6" w:rsidRDefault="00125D88" w:rsidP="00125D88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Arte Greca. L’età della formazione o periodo geometrico. Nascita della </w:t>
            </w:r>
            <w:proofErr w:type="spellStart"/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>poleis</w:t>
            </w:r>
            <w:proofErr w:type="spellEnd"/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>. L’arte vascolare. Caratteri dell’arte greca. Il tempio. Gli ordini architettonici. La scultura arcaica (le tre correnti scultoree arcaiche). La pittura vascolare.</w:t>
            </w:r>
            <w:r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</w:t>
            </w:r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L’inizio del periodo Classico. La statuaria: caratteristiche morfologiche. I bronzi di Riace. </w:t>
            </w:r>
            <w:proofErr w:type="spellStart"/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>Policleto</w:t>
            </w:r>
            <w:proofErr w:type="spellEnd"/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di Argo (il Canone; il Doriforo). Fidia (il Partenone e le sue sculture).</w:t>
            </w:r>
          </w:p>
          <w:p w14:paraId="1F0F5038" w14:textId="49DDF442" w:rsidR="00125D88" w:rsidRPr="00125D88" w:rsidRDefault="00125D88" w:rsidP="00125D88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125D88">
              <w:rPr>
                <w:rFonts w:ascii="Arial" w:eastAsia="Candara" w:hAnsi="Arial" w:cs="Arial"/>
                <w:color w:val="000000"/>
                <w:sz w:val="20"/>
                <w:szCs w:val="20"/>
              </w:rPr>
              <w:t>Arte Romana. Le tipologie di opus, tecniche e materiali in architettura. L’urbanistica, la Domus e l’Insula. Il tempio romano. Tipi edilizi più rilevanti nell’architettura pubblica romana: gli anfiteatri, i teatri, il foro. Grandi opere di ingegneria civile, ponti e acquedotti. La decorazione parietale (i quattro stili). La scultura (il ritratto, il rilievo storico-celebrativo).</w:t>
            </w:r>
          </w:p>
          <w:p w14:paraId="354D5B8E" w14:textId="29BC4BE9" w:rsidR="00307ED6" w:rsidRPr="00307ED6" w:rsidRDefault="00307ED6" w:rsidP="00307ED6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>Arte Paleocristiana e Bizantina: nascita/diffusione del cristianesimo; Basilica paleocristiana; il mosaico; Basilica di San Vitale a Ravenna.</w:t>
            </w:r>
          </w:p>
          <w:p w14:paraId="73BE18BF" w14:textId="77777777" w:rsidR="00307ED6" w:rsidRPr="00307ED6" w:rsidRDefault="00307ED6" w:rsidP="00307ED6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>Arte Romanica - Caratteri generali dell’architettura Romanica. I casi del S. Ambrogio di Milano e del Duomo di Modena. Arte Gotica: La nascita dell’architettura gotica e le tecniche costruttive - La Cattedrale di Notre-Dame a Parigi e la Basilica di San Francesco ad Assisi.</w:t>
            </w:r>
          </w:p>
          <w:p w14:paraId="5EC84023" w14:textId="77777777" w:rsidR="00307ED6" w:rsidRPr="00307ED6" w:rsidRDefault="00307ED6" w:rsidP="00307ED6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>Le origini del Rinascimento ('400). Cenni sulla prospettiva e le proporzioni. Il David di Donatello. La Primavera di Botticelli. Il Rinascimento ('500). La Gioconda di Leonardo. Il David di Michelangelo. La Scuola d'Atene di Raffaello.</w:t>
            </w:r>
          </w:p>
          <w:p w14:paraId="6AEAC061" w14:textId="43515628" w:rsidR="00307ED6" w:rsidRPr="00307ED6" w:rsidRDefault="00307ED6" w:rsidP="00307ED6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Il Seicento e il Barocco. La morte della Vergine di Caravaggio. Apollo e Dafne di Bernini. Chiesa di Sant'Ivo alla Sapienza di </w:t>
            </w:r>
            <w:proofErr w:type="spellStart"/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>Borromini</w:t>
            </w:r>
            <w:proofErr w:type="spellEnd"/>
            <w:r w:rsidRPr="00307ED6">
              <w:rPr>
                <w:rFonts w:ascii="Arial" w:eastAsia="Candara" w:hAnsi="Arial" w:cs="Arial"/>
                <w:color w:val="000000"/>
                <w:sz w:val="20"/>
                <w:szCs w:val="20"/>
              </w:rPr>
              <w:t>. Il Barocco in Sicilia. La ricostruzione in Val di Noto. Architettura come teatro a Palermo.</w:t>
            </w:r>
          </w:p>
        </w:tc>
      </w:tr>
    </w:tbl>
    <w:p w14:paraId="0D988955" w14:textId="13B2B7AB" w:rsidR="001E7BFC" w:rsidRDefault="001E7BFC">
      <w:pPr>
        <w:widowControl/>
        <w:autoSpaceDE/>
        <w:autoSpaceDN/>
        <w:spacing w:after="160" w:line="259" w:lineRule="auto"/>
      </w:pPr>
      <w:r>
        <w:br w:type="page"/>
      </w:r>
    </w:p>
    <w:p w14:paraId="4A3CEA2C" w14:textId="1AEE0257" w:rsidR="0080581B" w:rsidRDefault="007D52CC" w:rsidP="007D52CC">
      <w:pPr>
        <w:jc w:val="center"/>
        <w:rPr>
          <w:b/>
          <w:bCs/>
        </w:rPr>
      </w:pPr>
      <w:r w:rsidRPr="007D52CC">
        <w:rPr>
          <w:b/>
          <w:bCs/>
        </w:rPr>
        <w:t>ARTE E TERRITORIO</w:t>
      </w:r>
    </w:p>
    <w:p w14:paraId="37DC8159" w14:textId="77777777" w:rsidR="006124EC" w:rsidRDefault="006124EC" w:rsidP="007D52CC">
      <w:pPr>
        <w:jc w:val="center"/>
        <w:rPr>
          <w:b/>
          <w:bCs/>
        </w:rPr>
      </w:pPr>
    </w:p>
    <w:p w14:paraId="1F79FE6C" w14:textId="1ADAA7A3" w:rsidR="00EC7915" w:rsidRDefault="00EC7915" w:rsidP="006124EC">
      <w:pPr>
        <w:jc w:val="center"/>
        <w:rPr>
          <w:b/>
          <w:bCs/>
        </w:rPr>
      </w:pPr>
      <w:r w:rsidRPr="0080581B">
        <w:rPr>
          <w:b/>
          <w:bCs/>
        </w:rPr>
        <w:t>NUCLEI FONDANTI QU</w:t>
      </w:r>
      <w:r>
        <w:rPr>
          <w:b/>
          <w:bCs/>
        </w:rPr>
        <w:t>INTO</w:t>
      </w:r>
      <w:r w:rsidRPr="0080581B">
        <w:rPr>
          <w:b/>
          <w:bCs/>
        </w:rPr>
        <w:t xml:space="preserve"> ANNO</w:t>
      </w:r>
    </w:p>
    <w:p w14:paraId="515DEA30" w14:textId="77777777" w:rsidR="006124EC" w:rsidRDefault="006124EC" w:rsidP="006124EC">
      <w:pPr>
        <w:jc w:val="center"/>
        <w:rPr>
          <w:b/>
          <w:bCs/>
        </w:rPr>
      </w:pPr>
    </w:p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C7915" w:rsidRPr="008A179E" w14:paraId="20FE736C" w14:textId="77777777" w:rsidTr="007D52CC">
        <w:trPr>
          <w:trHeight w:val="2019"/>
        </w:trPr>
        <w:tc>
          <w:tcPr>
            <w:tcW w:w="9781" w:type="dxa"/>
          </w:tcPr>
          <w:p w14:paraId="00CBE2A8" w14:textId="5D8E9C1A" w:rsidR="00EC7915" w:rsidRDefault="00EC7915" w:rsidP="006C6176">
            <w:pPr>
              <w:pStyle w:val="TableParagraph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Educazione</w:t>
            </w:r>
            <w:r w:rsidRPr="008A179E">
              <w:rPr>
                <w:b/>
                <w:bCs/>
                <w:spacing w:val="-14"/>
                <w:sz w:val="20"/>
                <w:lang w:val="it-IT"/>
              </w:rPr>
              <w:t xml:space="preserve"> e conoscenza</w:t>
            </w:r>
            <w:r w:rsidRPr="008A179E">
              <w:rPr>
                <w:b/>
                <w:bCs/>
                <w:sz w:val="20"/>
                <w:lang w:val="it-IT"/>
              </w:rPr>
              <w:t>:</w:t>
            </w:r>
            <w:r w:rsidRPr="008A179E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s</w:t>
            </w:r>
            <w:r w:rsidRPr="007E3CE8">
              <w:rPr>
                <w:sz w:val="20"/>
                <w:lang w:val="it-IT"/>
              </w:rPr>
              <w:t>aper condurre in modo coerente una semplice argomentazione scritta e orale.</w:t>
            </w:r>
            <w:r>
              <w:rPr>
                <w:sz w:val="20"/>
                <w:lang w:val="it-IT"/>
              </w:rPr>
              <w:t xml:space="preserve"> </w:t>
            </w:r>
            <w:r w:rsidRPr="007E3CE8">
              <w:rPr>
                <w:sz w:val="20"/>
                <w:lang w:val="it-IT"/>
              </w:rPr>
              <w:t>Riconoscere i linguaggi propri dell’architettura, della pittura, della scultura e delle arti applicate.</w:t>
            </w:r>
            <w:r w:rsidR="00C14632">
              <w:rPr>
                <w:sz w:val="20"/>
                <w:lang w:val="it-IT"/>
              </w:rPr>
              <w:t xml:space="preserve"> </w:t>
            </w:r>
            <w:r w:rsidR="00C14632" w:rsidRPr="00C14632">
              <w:rPr>
                <w:sz w:val="20"/>
                <w:lang w:val="it-IT"/>
              </w:rPr>
              <w:t>Riconoscere l’evoluzione del concetto di conservazione e restauro</w:t>
            </w:r>
            <w:r w:rsidR="00C14632">
              <w:rPr>
                <w:sz w:val="20"/>
                <w:lang w:val="it-IT"/>
              </w:rPr>
              <w:t>.</w:t>
            </w:r>
          </w:p>
          <w:p w14:paraId="28C2EBBF" w14:textId="77777777" w:rsidR="00EC7915" w:rsidRPr="008A179E" w:rsidRDefault="00EC7915" w:rsidP="006C6176">
            <w:pPr>
              <w:pStyle w:val="TableParagraph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Lettura:</w:t>
            </w:r>
            <w:r w:rsidRPr="008A179E">
              <w:rPr>
                <w:sz w:val="20"/>
                <w:lang w:val="it-IT"/>
              </w:rPr>
              <w:t xml:space="preserve"> Leggere l’opera d’arte individuando le componenti strutturali,</w:t>
            </w:r>
            <w:r>
              <w:rPr>
                <w:sz w:val="20"/>
                <w:lang w:val="it-IT"/>
              </w:rPr>
              <w:t xml:space="preserve"> </w:t>
            </w:r>
            <w:r w:rsidRPr="008A179E">
              <w:rPr>
                <w:sz w:val="20"/>
                <w:lang w:val="it-IT"/>
              </w:rPr>
              <w:t>tecniche, iconografiche, stilistiche e relative alla committenza.</w:t>
            </w:r>
          </w:p>
          <w:p w14:paraId="58DAD860" w14:textId="62AF0854" w:rsidR="00EC7915" w:rsidRPr="008A179E" w:rsidRDefault="00EC7915" w:rsidP="00C25819">
            <w:pPr>
              <w:pStyle w:val="TableParagraph"/>
              <w:ind w:left="0"/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>F</w:t>
            </w:r>
            <w:r w:rsidRPr="008A179E">
              <w:rPr>
                <w:b/>
                <w:bCs/>
                <w:spacing w:val="-2"/>
                <w:sz w:val="20"/>
                <w:lang w:val="it-IT"/>
              </w:rPr>
              <w:t>atti storici:</w:t>
            </w:r>
            <w:r w:rsidRPr="008A179E">
              <w:rPr>
                <w:spacing w:val="-2"/>
                <w:sz w:val="20"/>
                <w:lang w:val="it-IT"/>
              </w:rPr>
              <w:t xml:space="preserve"> </w:t>
            </w:r>
            <w:r w:rsidR="00C25819" w:rsidRPr="00C25819">
              <w:rPr>
                <w:spacing w:val="-2"/>
                <w:sz w:val="20"/>
                <w:lang w:val="it-IT"/>
              </w:rPr>
              <w:t>Delineare la storia dell’arte moderna e contemporanea,</w:t>
            </w:r>
            <w:r w:rsidR="00C25819">
              <w:rPr>
                <w:spacing w:val="-2"/>
                <w:sz w:val="20"/>
                <w:lang w:val="it-IT"/>
              </w:rPr>
              <w:t xml:space="preserve"> </w:t>
            </w:r>
            <w:r w:rsidR="00C25819" w:rsidRPr="00C25819">
              <w:rPr>
                <w:spacing w:val="-2"/>
                <w:sz w:val="20"/>
                <w:lang w:val="it-IT"/>
              </w:rPr>
              <w:t>evidenziando i nessi con la storia e la cultura locale.</w:t>
            </w:r>
            <w:r w:rsidR="00C25819">
              <w:rPr>
                <w:spacing w:val="-2"/>
                <w:sz w:val="20"/>
                <w:lang w:val="it-IT"/>
              </w:rPr>
              <w:t xml:space="preserve"> </w:t>
            </w:r>
            <w:r w:rsidR="00C14632" w:rsidRPr="00C14632">
              <w:rPr>
                <w:spacing w:val="-2"/>
                <w:sz w:val="20"/>
                <w:lang w:val="it-IT"/>
              </w:rPr>
              <w:t>Movimenti artistici, personalità e opere significative di architettura,</w:t>
            </w:r>
            <w:r w:rsidR="00C14632">
              <w:rPr>
                <w:spacing w:val="-2"/>
                <w:sz w:val="20"/>
                <w:lang w:val="it-IT"/>
              </w:rPr>
              <w:t xml:space="preserve"> </w:t>
            </w:r>
            <w:r w:rsidR="00C14632" w:rsidRPr="00C14632">
              <w:rPr>
                <w:spacing w:val="-2"/>
                <w:sz w:val="20"/>
                <w:lang w:val="it-IT"/>
              </w:rPr>
              <w:t>pittura, scultura e arti applicate dal Settecento al Novecento.</w:t>
            </w:r>
          </w:p>
          <w:p w14:paraId="5EABC5FC" w14:textId="77777777" w:rsidR="00EC7915" w:rsidRPr="008A179E" w:rsidRDefault="00EC7915" w:rsidP="006C6176">
            <w:pPr>
              <w:pStyle w:val="TableParagraph"/>
              <w:spacing w:before="1"/>
              <w:ind w:left="0"/>
              <w:rPr>
                <w:sz w:val="20"/>
                <w:lang w:val="it-IT"/>
              </w:rPr>
            </w:pPr>
            <w:r w:rsidRPr="008A179E">
              <w:rPr>
                <w:b/>
                <w:bCs/>
                <w:sz w:val="20"/>
                <w:lang w:val="it-IT"/>
              </w:rPr>
              <w:t xml:space="preserve">Ordinatori </w:t>
            </w:r>
            <w:r w:rsidRPr="008A179E">
              <w:rPr>
                <w:sz w:val="20"/>
                <w:lang w:val="it-IT"/>
              </w:rPr>
              <w:t>(tempo/spazio/soggetti/relazioni): inserire il manufatto nel contesto storico-artistico di riferimento.</w:t>
            </w:r>
          </w:p>
          <w:p w14:paraId="7ED7344D" w14:textId="75105C83" w:rsidR="00EC7915" w:rsidRPr="004E5751" w:rsidRDefault="00EC7915" w:rsidP="004E5751">
            <w:pPr>
              <w:widowControl/>
              <w:adjustRightInd w:val="0"/>
              <w:snapToGrid w:val="0"/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</w:pPr>
            <w:r w:rsidRPr="008A179E">
              <w:rPr>
                <w:b/>
                <w:bCs/>
                <w:sz w:val="20"/>
                <w:lang w:val="it-IT"/>
              </w:rPr>
              <w:t>Educazione</w:t>
            </w:r>
            <w:r w:rsidRPr="008A179E">
              <w:rPr>
                <w:b/>
                <w:bCs/>
                <w:spacing w:val="-8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z w:val="20"/>
                <w:lang w:val="it-IT"/>
              </w:rPr>
              <w:t>al</w:t>
            </w:r>
            <w:r w:rsidRPr="008A179E">
              <w:rPr>
                <w:b/>
                <w:bCs/>
                <w:spacing w:val="-8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z w:val="20"/>
                <w:lang w:val="it-IT"/>
              </w:rPr>
              <w:t>patrimonio</w:t>
            </w:r>
            <w:r w:rsidRPr="008A179E">
              <w:rPr>
                <w:b/>
                <w:bCs/>
                <w:spacing w:val="-7"/>
                <w:sz w:val="20"/>
                <w:lang w:val="it-IT"/>
              </w:rPr>
              <w:t xml:space="preserve"> </w:t>
            </w:r>
            <w:r w:rsidRPr="008A179E">
              <w:rPr>
                <w:b/>
                <w:bCs/>
                <w:spacing w:val="-2"/>
                <w:sz w:val="20"/>
                <w:lang w:val="it-IT"/>
              </w:rPr>
              <w:t>culturale</w:t>
            </w:r>
            <w:r w:rsidRPr="008A179E">
              <w:rPr>
                <w:spacing w:val="-2"/>
                <w:sz w:val="20"/>
                <w:lang w:val="it-IT"/>
              </w:rPr>
              <w:t xml:space="preserve">: </w:t>
            </w:r>
            <w:r w:rsidR="00C25819">
              <w:rPr>
                <w:spacing w:val="-2"/>
                <w:sz w:val="20"/>
                <w:lang w:val="it-IT"/>
              </w:rPr>
              <w:t>C</w:t>
            </w:r>
            <w:r w:rsidRPr="007E3CE8">
              <w:rPr>
                <w:spacing w:val="-2"/>
                <w:sz w:val="20"/>
                <w:lang w:val="it-IT"/>
              </w:rPr>
              <w:t>oncetto di bene culturale; Teorie interpretative dell’opera d’arte</w:t>
            </w:r>
            <w:r w:rsidR="00C25819">
              <w:rPr>
                <w:spacing w:val="-2"/>
                <w:sz w:val="20"/>
                <w:lang w:val="it-IT"/>
              </w:rPr>
              <w:t>;</w:t>
            </w:r>
            <w:r w:rsidR="00C14632">
              <w:rPr>
                <w:spacing w:val="-2"/>
                <w:sz w:val="20"/>
                <w:lang w:val="it-IT"/>
              </w:rPr>
              <w:t xml:space="preserve"> </w:t>
            </w:r>
            <w:r w:rsidR="00C14632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  <w:t>Siti di rilevante interesse storico-artistico inseriti nel Patrimonio</w:t>
            </w:r>
            <w:r w:rsidR="00C14632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  <w:t xml:space="preserve"> </w:t>
            </w:r>
            <w:r w:rsidR="00C14632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  <w:t>dell’Umanità dell’UNESCO</w:t>
            </w:r>
            <w:r w:rsidR="00C25819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  <w:t xml:space="preserve"> </w:t>
            </w:r>
            <w:r w:rsidR="00C25819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  <w:t>quali fattori di valorizzazione turistica del territorio</w:t>
            </w:r>
            <w:r w:rsidR="008C14DA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  <w:t>;</w:t>
            </w:r>
            <w:r w:rsidR="003C1D2B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it-IT"/>
              </w:rPr>
              <w:t xml:space="preserve"> M</w:t>
            </w:r>
            <w:proofErr w:type="spellStart"/>
            <w:r w:rsidR="003C1D2B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  <w:t>useo</w:t>
            </w:r>
            <w:proofErr w:type="spellEnd"/>
            <w:r w:rsidR="003C1D2B">
              <w:rPr>
                <w:rFonts w:ascii="ArialNarrow" w:eastAsia="Times New Roman" w:hAnsi="ArialNarrow" w:cs="ArialNarrow"/>
                <w:color w:val="000000"/>
                <w:sz w:val="20"/>
                <w:szCs w:val="24"/>
                <w:lang w:val="x-none"/>
              </w:rPr>
              <w:t xml:space="preserve"> e patrimonio museale.</w:t>
            </w:r>
          </w:p>
        </w:tc>
      </w:tr>
    </w:tbl>
    <w:p w14:paraId="5218B187" w14:textId="11254DF5" w:rsidR="00EC7915" w:rsidRDefault="00EC7915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901"/>
      </w:tblGrid>
      <w:tr w:rsidR="004E5751" w14:paraId="262ADA9E" w14:textId="77777777" w:rsidTr="008C14D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2BE" w14:textId="77777777" w:rsidR="004E5751" w:rsidRDefault="004E5751" w:rsidP="004E5751">
            <w:pPr>
              <w:rPr>
                <w:b/>
                <w:sz w:val="20"/>
                <w:szCs w:val="20"/>
              </w:rPr>
            </w:pPr>
            <w:bookmarkStart w:id="1" w:name="_Hlk133082034"/>
            <w:r w:rsidRPr="00EC7915">
              <w:rPr>
                <w:b/>
                <w:bCs/>
                <w:sz w:val="20"/>
                <w:szCs w:val="20"/>
              </w:rPr>
              <w:t>UDA INTERDISCIPLINARI</w:t>
            </w:r>
          </w:p>
        </w:tc>
      </w:tr>
      <w:tr w:rsidR="004E5751" w14:paraId="14C5CDD6" w14:textId="77777777" w:rsidTr="008C14D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FD6" w14:textId="77777777" w:rsidR="004E5751" w:rsidRDefault="004E5751" w:rsidP="006C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6AD" w14:textId="77777777" w:rsidR="004E5751" w:rsidRDefault="004E5751" w:rsidP="006C61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forza del territorio e il Made in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</w:p>
        </w:tc>
      </w:tr>
      <w:tr w:rsidR="004E5751" w14:paraId="27D8A532" w14:textId="77777777" w:rsidTr="008C14D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D0F" w14:textId="77777777" w:rsidR="004E5751" w:rsidRDefault="004E5751" w:rsidP="006C6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E268" w14:textId="77777777" w:rsidR="004E5751" w:rsidRDefault="004E5751" w:rsidP="006C61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Sicilia fra storia, arte e cultura</w:t>
            </w:r>
          </w:p>
        </w:tc>
      </w:tr>
      <w:tr w:rsidR="004E5751" w14:paraId="56F2D837" w14:textId="77777777" w:rsidTr="008C14D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AEB" w14:textId="77777777" w:rsidR="004E5751" w:rsidRDefault="004E5751" w:rsidP="006C61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3° Trimestre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559" w14:textId="77777777" w:rsidR="004E5751" w:rsidRDefault="004E5751" w:rsidP="006C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turistici di qualità e sostenibilità</w:t>
            </w:r>
          </w:p>
        </w:tc>
      </w:tr>
      <w:bookmarkEnd w:id="1"/>
    </w:tbl>
    <w:p w14:paraId="5F2C7503" w14:textId="384DC1BA" w:rsidR="00EC7915" w:rsidRDefault="00EC7915"/>
    <w:p w14:paraId="1A0DDDD5" w14:textId="5524733A" w:rsidR="004E5751" w:rsidRPr="004E5751" w:rsidRDefault="004E5751">
      <w:pPr>
        <w:rPr>
          <w:b/>
          <w:bCs/>
        </w:rPr>
      </w:pPr>
      <w:r w:rsidRPr="004E5751">
        <w:rPr>
          <w:b/>
          <w:bCs/>
        </w:rPr>
        <w:t>CONTENUTI</w:t>
      </w:r>
    </w:p>
    <w:tbl>
      <w:tblPr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E5751" w:rsidRPr="006124EC" w14:paraId="20AB4F11" w14:textId="77777777" w:rsidTr="004E5751">
        <w:tc>
          <w:tcPr>
            <w:tcW w:w="9781" w:type="dxa"/>
            <w:tcBorders>
              <w:left w:val="single" w:sz="4" w:space="0" w:color="000000"/>
            </w:tcBorders>
            <w:shd w:val="clear" w:color="auto" w:fill="auto"/>
          </w:tcPr>
          <w:p w14:paraId="2E508E17" w14:textId="77777777" w:rsidR="006124EC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Il Neoclassicismo, caratteri generali.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Winkelmann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Mengs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(Parnaso di Villa Albani). Agrigento nel "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Grand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Tour" (UDA 2° trim.). Antonio Canova: Teseo sul Minotauro; Monumento funebre a Maria Cristina d’Austria; Amore e Psiche. </w:t>
            </w:r>
          </w:p>
          <w:p w14:paraId="394092B5" w14:textId="6BC2E177" w:rsidR="004E5751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Il Romanticismo: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Caspar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David Friedrich (Viandante sul mare di nebbia);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Théodore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Géricault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(La zattera della Medusa); Francesco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Hayez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(il bacio).</w:t>
            </w:r>
          </w:p>
          <w:p w14:paraId="02F8D5FB" w14:textId="77777777" w:rsidR="004E5751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 Beni Culturali e la fondazione dei grandi musei nazionali. Realismo e Verismo. Gustave Courbet: L’atelier del pittore. </w:t>
            </w:r>
          </w:p>
          <w:p w14:paraId="37B5DEC5" w14:textId="29963841" w:rsidR="004E5751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L'Impressionismo: Colazione sull'erba di Manet; La cattedrale di Rouen di Monet; Ballo al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Mulin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Galette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di Renoir. Il progresso tecnologico e la nuova architettura in ferro.  William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Morris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. La Torre Eiffel.</w:t>
            </w:r>
          </w:p>
          <w:p w14:paraId="067991E0" w14:textId="77777777" w:rsidR="004E5751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Il Postimpressionismo. I giocatori di carte di Cézanne. Una domenica all'isola della grande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Jatte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Seurat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. Vincent van Gogh: La camera da letto di Van Gogh. Edward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Munch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: l'Urlo. Gustav Klimt: il fregio di Beethoven.</w:t>
            </w:r>
          </w:p>
          <w:p w14:paraId="00DDFFF1" w14:textId="77777777" w:rsidR="004E5751" w:rsidRPr="006124EC" w:rsidRDefault="004E5751" w:rsidP="006124E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La stagione delle Avanguardie. L'espressionismo e le prime esperienze astratte. Henri Matisse: La danza, La musica. L'Astrattismo di Vasilij Kandinskij: Composizione IV.</w:t>
            </w:r>
          </w:p>
          <w:p w14:paraId="5FB0718D" w14:textId="77777777" w:rsidR="004E5751" w:rsidRPr="006124EC" w:rsidRDefault="004E5751" w:rsidP="006124E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Il Cubismo. Pablo Picasso, il Cubismo analitico, il Cubismo sintetico, il collage,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Les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demoiselles</w:t>
            </w:r>
            <w:proofErr w:type="spellEnd"/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 xml:space="preserve"> d'Avignon.</w:t>
            </w:r>
          </w:p>
          <w:p w14:paraId="7588EAF9" w14:textId="0F01267D" w:rsidR="004E5751" w:rsidRPr="006124EC" w:rsidRDefault="004E5751" w:rsidP="006124E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ndara" w:hAnsi="Arial" w:cs="Arial"/>
                <w:color w:val="000000"/>
                <w:sz w:val="20"/>
                <w:szCs w:val="20"/>
              </w:rPr>
            </w:pPr>
            <w:r w:rsidRPr="006124EC">
              <w:rPr>
                <w:rFonts w:ascii="Arial" w:eastAsia="Candara" w:hAnsi="Arial" w:cs="Arial"/>
                <w:color w:val="000000"/>
                <w:sz w:val="20"/>
                <w:szCs w:val="20"/>
              </w:rPr>
              <w:t>Il Futurismo. Umberto Boccioni (La città che sale; Forme uniche della continuità nello spazio; Stati d'animo).</w:t>
            </w:r>
          </w:p>
        </w:tc>
      </w:tr>
    </w:tbl>
    <w:p w14:paraId="699F2484" w14:textId="77777777" w:rsidR="004E5751" w:rsidRDefault="004E5751"/>
    <w:sectPr w:rsidR="004E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rrow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1089"/>
    <w:multiLevelType w:val="hybridMultilevel"/>
    <w:tmpl w:val="14182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BC3"/>
    <w:multiLevelType w:val="hybridMultilevel"/>
    <w:tmpl w:val="CDFA7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D2A10"/>
    <w:multiLevelType w:val="hybridMultilevel"/>
    <w:tmpl w:val="69707F54"/>
    <w:lvl w:ilvl="0" w:tplc="3E8E4E7A">
      <w:start w:val="1"/>
      <w:numFmt w:val="bullet"/>
      <w:lvlText w:val="□"/>
      <w:lvlJc w:val="left"/>
      <w:pPr>
        <w:ind w:left="445" w:hanging="30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B4E4956">
      <w:start w:val="1"/>
      <w:numFmt w:val="bullet"/>
      <w:lvlText w:val="•"/>
      <w:lvlJc w:val="left"/>
      <w:pPr>
        <w:ind w:left="1428" w:hanging="303"/>
      </w:pPr>
      <w:rPr>
        <w:rFonts w:hint="default"/>
      </w:rPr>
    </w:lvl>
    <w:lvl w:ilvl="2" w:tplc="C090CF0A">
      <w:start w:val="1"/>
      <w:numFmt w:val="bullet"/>
      <w:lvlText w:val="•"/>
      <w:lvlJc w:val="left"/>
      <w:pPr>
        <w:ind w:left="2406" w:hanging="303"/>
      </w:pPr>
      <w:rPr>
        <w:rFonts w:hint="default"/>
      </w:rPr>
    </w:lvl>
    <w:lvl w:ilvl="3" w:tplc="28C20C66">
      <w:start w:val="1"/>
      <w:numFmt w:val="bullet"/>
      <w:lvlText w:val="•"/>
      <w:lvlJc w:val="left"/>
      <w:pPr>
        <w:ind w:left="3384" w:hanging="303"/>
      </w:pPr>
      <w:rPr>
        <w:rFonts w:hint="default"/>
      </w:rPr>
    </w:lvl>
    <w:lvl w:ilvl="4" w:tplc="E3A23ED4">
      <w:start w:val="1"/>
      <w:numFmt w:val="bullet"/>
      <w:lvlText w:val="•"/>
      <w:lvlJc w:val="left"/>
      <w:pPr>
        <w:ind w:left="4362" w:hanging="303"/>
      </w:pPr>
      <w:rPr>
        <w:rFonts w:hint="default"/>
      </w:rPr>
    </w:lvl>
    <w:lvl w:ilvl="5" w:tplc="9BDA95C2">
      <w:start w:val="1"/>
      <w:numFmt w:val="bullet"/>
      <w:lvlText w:val="•"/>
      <w:lvlJc w:val="left"/>
      <w:pPr>
        <w:ind w:left="5340" w:hanging="303"/>
      </w:pPr>
      <w:rPr>
        <w:rFonts w:hint="default"/>
      </w:rPr>
    </w:lvl>
    <w:lvl w:ilvl="6" w:tplc="A126C3C4">
      <w:start w:val="1"/>
      <w:numFmt w:val="bullet"/>
      <w:lvlText w:val="•"/>
      <w:lvlJc w:val="left"/>
      <w:pPr>
        <w:ind w:left="6318" w:hanging="303"/>
      </w:pPr>
      <w:rPr>
        <w:rFonts w:hint="default"/>
      </w:rPr>
    </w:lvl>
    <w:lvl w:ilvl="7" w:tplc="B70A7F18">
      <w:start w:val="1"/>
      <w:numFmt w:val="bullet"/>
      <w:lvlText w:val="•"/>
      <w:lvlJc w:val="left"/>
      <w:pPr>
        <w:ind w:left="7296" w:hanging="303"/>
      </w:pPr>
      <w:rPr>
        <w:rFonts w:hint="default"/>
      </w:rPr>
    </w:lvl>
    <w:lvl w:ilvl="8" w:tplc="50180F76">
      <w:start w:val="1"/>
      <w:numFmt w:val="bullet"/>
      <w:lvlText w:val="•"/>
      <w:lvlJc w:val="left"/>
      <w:pPr>
        <w:ind w:left="8274" w:hanging="303"/>
      </w:pPr>
      <w:rPr>
        <w:rFonts w:hint="default"/>
      </w:rPr>
    </w:lvl>
  </w:abstractNum>
  <w:abstractNum w:abstractNumId="3" w15:restartNumberingAfterBreak="0">
    <w:nsid w:val="34B378C1"/>
    <w:multiLevelType w:val="hybridMultilevel"/>
    <w:tmpl w:val="47C6F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0AA8"/>
    <w:multiLevelType w:val="hybridMultilevel"/>
    <w:tmpl w:val="1E680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82"/>
    <w:multiLevelType w:val="hybridMultilevel"/>
    <w:tmpl w:val="7A66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48"/>
    <w:rsid w:val="00125D88"/>
    <w:rsid w:val="001E7BFC"/>
    <w:rsid w:val="00307ED6"/>
    <w:rsid w:val="003C1D2B"/>
    <w:rsid w:val="004E5751"/>
    <w:rsid w:val="00516D4F"/>
    <w:rsid w:val="00555DE8"/>
    <w:rsid w:val="006124EC"/>
    <w:rsid w:val="00637EAA"/>
    <w:rsid w:val="00781657"/>
    <w:rsid w:val="007D52CC"/>
    <w:rsid w:val="007E3CE8"/>
    <w:rsid w:val="007E6714"/>
    <w:rsid w:val="008050F3"/>
    <w:rsid w:val="0080581B"/>
    <w:rsid w:val="008A179E"/>
    <w:rsid w:val="008C14DA"/>
    <w:rsid w:val="009A0948"/>
    <w:rsid w:val="009B767F"/>
    <w:rsid w:val="009F2C7B"/>
    <w:rsid w:val="00A63A4C"/>
    <w:rsid w:val="00B950DC"/>
    <w:rsid w:val="00C14632"/>
    <w:rsid w:val="00C25819"/>
    <w:rsid w:val="00D27882"/>
    <w:rsid w:val="00D32607"/>
    <w:rsid w:val="00D6163A"/>
    <w:rsid w:val="00D66C06"/>
    <w:rsid w:val="00E72E3C"/>
    <w:rsid w:val="00EC7915"/>
    <w:rsid w:val="00F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2CBF"/>
  <w15:chartTrackingRefBased/>
  <w15:docId w15:val="{A74069A3-10BC-4DB6-8468-060B162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7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72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2E3C"/>
    <w:pPr>
      <w:ind w:left="107"/>
    </w:pPr>
  </w:style>
  <w:style w:type="paragraph" w:styleId="Paragrafoelenco">
    <w:name w:val="List Paragraph"/>
    <w:basedOn w:val="Normale"/>
    <w:uiPriority w:val="34"/>
    <w:qFormat/>
    <w:rsid w:val="004E5751"/>
    <w:pPr>
      <w:widowControl/>
      <w:autoSpaceDE/>
      <w:autoSpaceDN/>
      <w:spacing w:line="20" w:lineRule="atLeast"/>
      <w:ind w:left="720"/>
      <w:contextualSpacing/>
    </w:pPr>
    <w:rPr>
      <w:rFonts w:ascii="Calibri" w:eastAsia="Calibri" w:hAnsi="Calibri" w:cs="Times New Roman"/>
    </w:rPr>
  </w:style>
  <w:style w:type="paragraph" w:styleId="Rientronormale">
    <w:name w:val="Normal Indent"/>
    <w:basedOn w:val="Normale"/>
    <w:rsid w:val="00307ED6"/>
    <w:pPr>
      <w:widowControl/>
      <w:autoSpaceDE/>
      <w:autoSpaceDN/>
      <w:ind w:left="708"/>
    </w:pPr>
    <w:rPr>
      <w:rFonts w:ascii="Times New Roman" w:eastAsia="Calibri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Miccichè</dc:creator>
  <cp:keywords/>
  <dc:description/>
  <cp:lastModifiedBy>Vincenzo Cassaro</cp:lastModifiedBy>
  <cp:revision>2</cp:revision>
  <dcterms:created xsi:type="dcterms:W3CDTF">2023-05-05T09:40:00Z</dcterms:created>
  <dcterms:modified xsi:type="dcterms:W3CDTF">2023-05-05T09:40:00Z</dcterms:modified>
</cp:coreProperties>
</file>